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29" w:rsidRPr="00567E29" w:rsidRDefault="00567E29" w:rsidP="00567E2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bookmarkStart w:id="0" w:name="_GoBack"/>
      <w:bookmarkEnd w:id="0"/>
      <w:r w:rsidRPr="00567E29">
        <w:rPr>
          <w:rFonts w:ascii="Times New Roman" w:eastAsia="Times New Roman" w:hAnsi="Times New Roman" w:cs="Times New Roman"/>
          <w:b/>
          <w:bCs/>
          <w:sz w:val="20"/>
          <w:szCs w:val="20"/>
          <w:lang w:eastAsia="ru-RU"/>
        </w:rPr>
        <w:t>"О порядке направления пациентов Удмуртской Республики на консультацию и (или) лечение за пределы Удмуртской Республики"</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sz w:val="24"/>
          <w:szCs w:val="24"/>
          <w:lang w:eastAsia="ru-RU"/>
        </w:rPr>
        <w:t xml:space="preserve">В целях осуществления контроля за целевым использованием бюджетных средств, в соответствии с постановлением Правительства Удмуртской Республики от 03.03.2003 N 150 "О Министерстве здравоохранения Удмуртской Республики" при направлении пациентов Удмуртской Республики на лечение за пределы Удмуртской Республики приказываю: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1. Утвердить:</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1.1. Положение о порядке направления пациентов Удмуртской Республики на консультацию и (или) лечение в учреждения здравоохранения за пределы Удмуртской Республики (далее - Положение) (приложение N 1).</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1.2. Состав комиссии по отбору пациентов, подлежащих направлению на консультацию и (или) лечение в учреждения здравоохранения за пределы Удмуртской Республики (далее - Комиссия) (приложение N 2).</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1.3. Форму листа ожидания на оказание дорогостоящих (высокотехнологичных) видов медицинской помощи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медицинских наук (приложение N 3).</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(подпункт 1.3 дополнен приказом Минздрава УР от 28.03.2006 N 134)</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2. Главным внештатным специалистам Министерства здравоохранения Удмуртской Республики: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2.1. Руководствоваться прилагаемым Положением при отборе пациентов.</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2.2. Довести настоящее Положение до сведения соответствующих специалистов на заседаниях обществ и врачебных ассоциаций.</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2.3. Проводить анализ направлений пациентов на лечение за пределы Удмуртской Республики по итогам 6 месяцев и по итогам года и представлять в соответствующие отделы Министерства здравоохранения Удмуртской Республики не позднее 20 числа, следующего за отчетным периодом.</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3. Начальникам Управлений здравоохранения Администраций гг. Ижевска, Глазова, Воткинска, Сарапула и Воткинского района, главным врачам лечебно-профилактических учреждений руководствоваться в работе прилагаемым Положением.</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4. Начальникам отдела лечебно-профилактической помощи взрослому населению Л.Л. Тарасовой и отдела лечебно-профилактической помощи матерям и детям Л.А. Гузнищевой обеспечить:</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4.1. Контроль за полнотой и регулярностью ведения листов ожидания на оказание дорогостоящих (высокотехнологичных) видов медицинской помощи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медицинских наук;</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lastRenderedPageBreak/>
        <w:t>4.2. Формировать ежегодно потребность населения республики в дорогостоящей (высокотехнологичной) медицинской помощи.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(пункт 4 дополнен приказом Минздрава УР от 28.03.2006 N 134)</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КонсультантПлюс: примечание.</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Нумерация пунктов дана в соответствии с официальным текстом документа.</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4. Контроль за исполнением настоящего приказа возложить на заместителей министра Ромаданову Т.В. и Шешко Е.Л.</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Министр                                                                                  В.А.МЕРЗЛЯКОВ</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Приложение N 1</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к приказу МЗ УР</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от 11 ноября 2005 г. N 455</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ПОЛОЖЕНИЕ</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О ПОРЯДКЕ НАПРАВЛЕНИЯ ПАЦИЕНТОВ УДМУРТСКОЙ РЕСПУБЛИКИ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НА КОНСУЛЬТАЦИЮ И (ИЛИ) ЛЕЧЕНИЕ В МЕДИЦИНСКИЕ</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УЧРЕЖДЕНИЯ ЗА ПРЕДЕЛЫ УДМУРТСКОЙ РЕСПУБЛИКИ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Настоящее Положение о порядке направления пациентов Удмуртской Республики на консультацию и (или) лечение в учреждения здравоохранения за пределы Удмуртской Республики (далее - Положение) определяет порядок направления пациентов Удмуртской Республики на консультацию и (или) лечение в медицинские учреждения за пределы Удмуртской Республики и оплаты расходов, связанных с их лечением, проживанием и проездом к месту лечения и обратно.</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Целесообразность направления пациентов Удмуртской Республики на лечение или консультацию за пределы Удмуртской Республики осуществляет Комиссия по отбору пациентов, подлежащих направлению на консультацию и (или) лечение за пределы Удмуртской Республики, Министерства здравоохранения Удмуртской Республики (далее - Минздрав Удмуртии).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Председателем и сопредседателем Комиссии назначаются заместители министра. Секретарем Комиссии назначается специалист отдела лечебно-профилактической помощи взрослому населению или специалист отдела лечебно-профилактической помощи матерям и детям в зависимости от возраста направляемого на лечение пациента. В отсутствие председателя или сопредседателя право подписи направления на лечение за пределы республики остается за министром или другими заместителями министра.</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Свои решения Комиссия оформляет протоколами, которые регистрируются секретарем. Протокол заседания Комиссии подписывает председатель Комиссии либо сопредседатель.</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Заседания Комиссии проводятся по мере необходимости, но не реже одного раза в месяц.</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lastRenderedPageBreak/>
        <w:t>Комиссия при необходимости имеет право приглашать на свои заседания сотрудников Ижевской государственной медицинской академии.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Для решения вопроса о наличии показаний для направления пациента в учреждения здравоохранения за пределы Удмуртской Республики территориальные органы управления здравоохранением, муниципальные учреждения здравоохранения направляют пациента на очную консультацию к главному внештатному специалисту Минздрава Удмуртии по профилю с направлением по форме, утвержденной приказом Минздравсоцразвития Российской Федерации от 22.11.2004 N 255 "О Порядке оказания первичной медико-санитарной помощи гражданам, имеющим право на получение набора социальных услуг" (прилагается - не приводится), подробной выпиской из медицинской карты стационарного больного или медицинской карты амбулаторного больного.</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Выписка из медицинских документов должна содержать:</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паспортные данные с указанием: Ф.И.О. (полностью), домашнего адреса, контактного телефона, СНИЛС - страхового номера индивидуального лицевого счета гражданина в Пенсионном фонде РФ (для граждан, имеющих право на получение государственной социальной помощи), принадлежности больного к отдельным категориям населения (инвалиды и участники войны, инвалиды, участники ликвидации аварии на Чернобыльской АЭС, боевых действий на территории других государств, подверженные радиационным воздействиям; ребенок, оставшийся без попечения родителей, ребенок-инвалид с детства, ребенок из многодетной семьи и т.п.);</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историю развития основного заболевания, наличие сопутствующих заболеваний, объем проведенного лечения, сроки нетрудоспособности, эффективность лечения, при представлении на МСЭ - сроки и принятое решение;</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данные объективных методов обследования, описание локального статуса при патологии опорно-двигательного аппарата;</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данные лабораторных методов исследования;</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предварительный или установленный клинический диагноз с указанием степени нарушений функций органов или систем.</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После консультации главным внештатным специалистом Минздрава Удмуртии выписка из медицинских документов вместе с заключением главного специалиста представляется по курации в лечебные отделы Минздрава Удмуртии для комиссионного рассмотрения и определения дальнейшей тактики по адресу: г. Ижевск, ул. Красная, 144. Телефоны для справок: 51-39-29, 51-39-01 (отдел лечебно-профилактической помощи взрослому населению) и 51-37-61, 51-39-31 (отдел лечебно-профилактической помощи матерям и детям).</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При решении Комиссии о наличии показаний для лечения (консультации) пациента за пределами Удмуртской Республики представленные медицинские документы направляются в соответствующее учреждение здравоохранения за пределами Удмуртской Республики.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При решении Комиссии о наличии возможности лечения (диагностики) пациента в ЛПУ УР свое заключение Комиссия в письменном виде направляет пациенту и в ЛПУ, осуществляющее наблюдение и лечение пациента по месту прикрепления.</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lastRenderedPageBreak/>
        <w:t>Медицинское учреждение, куда были направлены документы или пациент на очную консультацию, в течение 14 дней со дня поступления медицинских документов, а при очной консультации - в день получения заключения о результатах проведенного обследования гражданина рассматривает эти документы, выносит решение о необходимости госпитализации и о принятом решении информирует Минздрав Удмуртии с указанием даты госпитализации.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Минздравом Удмуртии выдается пациенту направление на лечение. Для граждан, имеющих право на получение государственной социальной помощи, выдается направление по форме, утвержденной приказом Минздравсоцразвития РФ от 05.10.2005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При необходимости направления пациента на лечение за пределы Удмуртской Республики в экстренном порядке (тяжелое состояние больного, наличие определенных показаний) медицинские документы пациента отправляются факсом либо на очную консультацию направляется сам пациент (медицинские документы выдаются ему на руки с заключением главного внештатного специалиста Минздрава Удмуртии и направлением Минздрава Удмуртии). В этом случае главный внештатный специалист должен предварительно договориться об очной консультации с представителями соответствующего учреждения. По итогам 6 месяцев текущего года и по итогам года главные внештатные специалисты должны проводить анализ о направленных больных в учреждения здравоохранения федерального подчинения по числу выделенных и использованных квот, по отдаленным результатам, осложнениям и т.д.</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В случае необходимости повторного направления пациента на консультацию или лечение в учреждение здравоохранения за пределами Удмуртской Республики пациент обращается к главному внештатному специалисту Минздрава Удмуртии (по профилю) с выпиской (справкой) из учреждения, где он был на лечении (консультации), в которой указаны сроки и цель повторной консультации или госпитализации (при условии, что первоначально пациент направлялся Минздравом Удмуртии). Если пациенту действительно показано повторное лечение или консультация в лечебном учреждении здравоохранения за пределами Удмуртской Республики, главным специалистом Минздрава Удмуртии выдается соответствующее заключение для представления в Минздрав Удмуртии и которое является основанием для выдачи направления.</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Пациенты Удмуртской Республики направляются на лечение в медицинские учреждения за пределы Удмуртской Республики в счет квот региона, выделяемых ежегодно соответствующим приказом Министерства здравоохранения и социального развития Российской Федерации и Российской академии медицинских наук. Если невозможно направление в счет квоты (из-за отсутствия выделенных квот или отсутствия учреждения в перечне ЛПУ, оказывающих лечение за счет средств федерального бюджета), оплату лечения (консультации) пациента в таком учреждении федерального подчинения производит Минздрав Удмуртии за счет средств республиканского бюджета здравоохранения согласно договорам и счетам в пределах выделенных финансовых средств на эти цели.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xml:space="preserve">Для граждан, не относящихся к числу лиц, имеющих право на получение государственной социальной помощи в соответствии с ФЗ "О государственной социальной помощи" от 02.07.1999 N 178-ФЗ (в редакции Федерального закона от 22.08.2004 N 122-ФЗ), оплата проезда к месту лечения и обратно производится за счет средств самого пациента. Для </w:t>
      </w:r>
      <w:r w:rsidRPr="00567E29">
        <w:rPr>
          <w:rFonts w:ascii="Times New Roman" w:eastAsia="Times New Roman" w:hAnsi="Times New Roman" w:cs="Times New Roman"/>
          <w:color w:val="000000"/>
          <w:sz w:val="24"/>
          <w:szCs w:val="24"/>
          <w:lang w:eastAsia="ru-RU"/>
        </w:rPr>
        <w:lastRenderedPageBreak/>
        <w:t>граждан, имеющих право на получение государственной социальной помощи, оплата проезда к месту лечения и обратно осуществляется за счет федерального бюджета в соответствии с постановлением Правительства Российской Федерации от 29.12.2004 N 864 "О порядке финансирования расходов по предоставлению гражданам государственной социальной помощи в виде набора социальных услуг и установлении платы за предоставление государственной социальной помощи в виде набора социальных услуг лицам, подвергшимся воздействию радиации вследствие катастрофы на Чернобыльской АЭС, а также вследствие ядерных испытаний на Семипалатинском полигоне, и приравненным к ним категориям граждан". Оплата проживания, питания, дополнительных исследований, лекарственных препаратов, не входящих в стандарт лечения основного заболевания, и расходных материалов производится за счет средств самого пациента. Оплата проживания и питания сопровождающего ребенка лица производится за счет личных средств сопровождающего.</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Пациенты, выезжающие на лечение (консультацию) в учреждения здравоохранения за пределы Удмуртской Республики, должны иметь при себе направление Минздрава Удмуртии, которое выдается при наличии вызова на консультацию или лечение из учреждения здравоохранения федерального подчинения, паспорт, полис обязательного медицинского страхования, медицинские документы согласно прилагаемому к вызову перечню. Пациентам из числа граждан, имеющих право на получение государственной социальной помощи, выдается направление на лечение в соответствии с приказом Минздравсоцразвития РФ от 05.10.2005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Приложение N 2</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к приказу</w:t>
      </w:r>
      <w:r w:rsidRPr="00567E29">
        <w:rPr>
          <w:rFonts w:ascii="Times New Roman" w:eastAsia="Times New Roman" w:hAnsi="Times New Roman" w:cs="Times New Roman"/>
          <w:sz w:val="24"/>
          <w:szCs w:val="24"/>
          <w:lang w:eastAsia="ru-RU"/>
        </w:rPr>
        <w:t xml:space="preserve"> </w:t>
      </w:r>
      <w:r w:rsidRPr="00567E29">
        <w:rPr>
          <w:rFonts w:ascii="Times New Roman" w:eastAsia="Times New Roman" w:hAnsi="Times New Roman" w:cs="Times New Roman"/>
          <w:color w:val="000000"/>
          <w:sz w:val="24"/>
          <w:szCs w:val="24"/>
          <w:lang w:eastAsia="ru-RU"/>
        </w:rPr>
        <w:t>МЗ УР</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от 11 ноября 2005 г. N 455</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СОСТАВ</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КОМИССИИ ПО ОТБОРУ ПАЦИЕНТОВ, ПОДЛЕЖАЩИХ НАПРАВЛЕНИЮ</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НА ЛЕЧЕНИЕ (КОНСУЛЬТАЦИЮ) В УЧРЕЖДЕНИЯ ЗДРАВООХРАНЕНИЯ</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ЗА ПРЕДЕЛЫ УДМУРТСКОЙ РЕСПУБЛИКИ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Председатель Комиссии: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Ромаданова Т.В.  - заместитель министра здравоохранения</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Удмуртской Республики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Шешко Е.Л.       - заместитель министра здравоохранения</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Удмуртской Республики - сопредседатель</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Комиссии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 ведущий специалист отдела</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lastRenderedPageBreak/>
        <w:t>                   лечебно-профилактической помощи взрослому</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населению или отдела лечебно-профилактической</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помощи матерям и детям МЗ УР - секретарь</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Комиссии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Члены Комиссии: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Тарасова Л.Л.    - начальник отдела лечебно-профилактической</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помощи взрослому населению МЗ УР</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Гузнищева Л.А.   - начальник отдела лечебно-профилактической</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помощи матерям и детям МЗ УР</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Ярхова Л.М.      - юрисконсульт отдела правового обеспечения ГУ РО</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ФСС РФ по УР (по согласованию)</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 главные внештатные специалисты Министерства</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здравоохранения Удмуртской Республики по</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профилю и сотрудники Ижевской государственной</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медицинской академии в сложных, конфликтных</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случаях</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Приложение N 3</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к приказу МЗ УР</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от 11 ноября 2005 г. N 455</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Лист ожидания на оказание дорогостоящих</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(высокотехнологичных) видов медицинской помощи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в федеральных специализированных медицинских учреждениях,</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подведомственных Федеральному агентству по здравоохранению</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и социальному развитию и Российской академии</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медицинских наук</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(Приложение N 3 дополнено приказом Минздрава УР</w:t>
      </w:r>
      <w:r w:rsidRPr="00567E29">
        <w:rPr>
          <w:rFonts w:ascii="Times New Roman" w:eastAsia="Times New Roman" w:hAnsi="Times New Roman" w:cs="Times New Roman"/>
          <w:sz w:val="24"/>
          <w:szCs w:val="24"/>
          <w:lang w:eastAsia="ru-RU"/>
        </w:rPr>
        <w:t xml:space="preserve"> </w:t>
      </w:r>
    </w:p>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lastRenderedPageBreak/>
        <w:t>от 28.03.2006 N 134)</w:t>
      </w:r>
      <w:r w:rsidRPr="00567E29">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firstRow="1" w:lastRow="0" w:firstColumn="1" w:lastColumn="0" w:noHBand="0" w:noVBand="1"/>
      </w:tblPr>
      <w:tblGrid>
        <w:gridCol w:w="195"/>
        <w:gridCol w:w="711"/>
        <w:gridCol w:w="824"/>
        <w:gridCol w:w="1267"/>
        <w:gridCol w:w="920"/>
        <w:gridCol w:w="709"/>
        <w:gridCol w:w="834"/>
        <w:gridCol w:w="778"/>
        <w:gridCol w:w="778"/>
        <w:gridCol w:w="939"/>
        <w:gridCol w:w="1400"/>
      </w:tblGrid>
      <w:tr w:rsidR="00567E29" w:rsidRPr="00567E29" w:rsidTr="00567E29">
        <w:trPr>
          <w:tblCellSpacing w:w="0" w:type="dxa"/>
        </w:trPr>
        <w:tc>
          <w:tcPr>
            <w:tcW w:w="405"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xml:space="preserve">N </w:t>
            </w:r>
            <w:r w:rsidRPr="00567E29">
              <w:rPr>
                <w:rFonts w:ascii="Times New Roman" w:eastAsia="Times New Roman" w:hAnsi="Times New Roman" w:cs="Times New Roman"/>
                <w:color w:val="000000"/>
                <w:sz w:val="24"/>
                <w:szCs w:val="24"/>
                <w:lang w:eastAsia="ru-RU"/>
              </w:rPr>
              <w:br/>
              <w:t>п/</w:t>
            </w:r>
            <w:r w:rsidRPr="00567E29">
              <w:rPr>
                <w:rFonts w:ascii="Times New Roman" w:eastAsia="Times New Roman" w:hAnsi="Times New Roman" w:cs="Times New Roman"/>
                <w:color w:val="000000"/>
                <w:sz w:val="24"/>
                <w:szCs w:val="24"/>
                <w:lang w:eastAsia="ru-RU"/>
              </w:rPr>
              <w:br/>
              <w:t xml:space="preserve">п </w:t>
            </w:r>
          </w:p>
        </w:tc>
        <w:tc>
          <w:tcPr>
            <w:tcW w:w="945"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Ф.И.О.</w:t>
            </w:r>
            <w:r w:rsidRPr="00567E29">
              <w:rPr>
                <w:rFonts w:ascii="Times New Roman" w:eastAsia="Times New Roman" w:hAnsi="Times New Roman" w:cs="Times New Roman"/>
                <w:color w:val="000000"/>
                <w:sz w:val="24"/>
                <w:szCs w:val="24"/>
                <w:lang w:eastAsia="ru-RU"/>
              </w:rPr>
              <w:br/>
              <w:t xml:space="preserve">паци- </w:t>
            </w:r>
            <w:r w:rsidRPr="00567E29">
              <w:rPr>
                <w:rFonts w:ascii="Times New Roman" w:eastAsia="Times New Roman" w:hAnsi="Times New Roman" w:cs="Times New Roman"/>
                <w:color w:val="000000"/>
                <w:sz w:val="24"/>
                <w:szCs w:val="24"/>
                <w:lang w:eastAsia="ru-RU"/>
              </w:rPr>
              <w:br/>
              <w:t xml:space="preserve">ента, </w:t>
            </w:r>
            <w:r w:rsidRPr="00567E29">
              <w:rPr>
                <w:rFonts w:ascii="Times New Roman" w:eastAsia="Times New Roman" w:hAnsi="Times New Roman" w:cs="Times New Roman"/>
                <w:color w:val="000000"/>
                <w:sz w:val="24"/>
                <w:szCs w:val="24"/>
                <w:lang w:eastAsia="ru-RU"/>
              </w:rPr>
              <w:br/>
              <w:t xml:space="preserve">код   </w:t>
            </w:r>
          </w:p>
        </w:tc>
        <w:tc>
          <w:tcPr>
            <w:tcW w:w="810"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СНИЛС</w:t>
            </w:r>
            <w:r w:rsidRPr="00567E29">
              <w:rPr>
                <w:rFonts w:ascii="Times New Roman" w:eastAsia="Times New Roman" w:hAnsi="Times New Roman" w:cs="Times New Roman"/>
                <w:color w:val="000000"/>
                <w:sz w:val="24"/>
                <w:szCs w:val="24"/>
                <w:lang w:eastAsia="ru-RU"/>
              </w:rPr>
              <w:br/>
              <w:t xml:space="preserve">&lt;*&gt;  </w:t>
            </w:r>
            <w:r w:rsidRPr="00567E29">
              <w:rPr>
                <w:rFonts w:ascii="Times New Roman" w:eastAsia="Times New Roman" w:hAnsi="Times New Roman" w:cs="Times New Roman"/>
                <w:color w:val="000000"/>
                <w:sz w:val="24"/>
                <w:szCs w:val="24"/>
                <w:lang w:eastAsia="ru-RU"/>
              </w:rPr>
              <w:br/>
              <w:t xml:space="preserve">(при </w:t>
            </w:r>
            <w:r w:rsidRPr="00567E29">
              <w:rPr>
                <w:rFonts w:ascii="Times New Roman" w:eastAsia="Times New Roman" w:hAnsi="Times New Roman" w:cs="Times New Roman"/>
                <w:color w:val="000000"/>
                <w:sz w:val="24"/>
                <w:szCs w:val="24"/>
                <w:lang w:eastAsia="ru-RU"/>
              </w:rPr>
              <w:br/>
              <w:t>нали-</w:t>
            </w:r>
            <w:r w:rsidRPr="00567E29">
              <w:rPr>
                <w:rFonts w:ascii="Times New Roman" w:eastAsia="Times New Roman" w:hAnsi="Times New Roman" w:cs="Times New Roman"/>
                <w:color w:val="000000"/>
                <w:sz w:val="24"/>
                <w:szCs w:val="24"/>
                <w:lang w:eastAsia="ru-RU"/>
              </w:rPr>
              <w:br/>
              <w:t xml:space="preserve">чии) </w:t>
            </w:r>
          </w:p>
        </w:tc>
        <w:tc>
          <w:tcPr>
            <w:tcW w:w="1620"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xml:space="preserve">Адрес   </w:t>
            </w:r>
            <w:r w:rsidRPr="00567E29">
              <w:rPr>
                <w:rFonts w:ascii="Times New Roman" w:eastAsia="Times New Roman" w:hAnsi="Times New Roman" w:cs="Times New Roman"/>
                <w:color w:val="000000"/>
                <w:sz w:val="24"/>
                <w:szCs w:val="24"/>
                <w:lang w:eastAsia="ru-RU"/>
              </w:rPr>
              <w:br/>
              <w:t>регистрации</w:t>
            </w:r>
            <w:r w:rsidRPr="00567E29">
              <w:rPr>
                <w:rFonts w:ascii="Times New Roman" w:eastAsia="Times New Roman" w:hAnsi="Times New Roman" w:cs="Times New Roman"/>
                <w:color w:val="000000"/>
                <w:sz w:val="24"/>
                <w:szCs w:val="24"/>
                <w:lang w:eastAsia="ru-RU"/>
              </w:rPr>
              <w:br/>
              <w:t xml:space="preserve">места   </w:t>
            </w:r>
            <w:r w:rsidRPr="00567E29">
              <w:rPr>
                <w:rFonts w:ascii="Times New Roman" w:eastAsia="Times New Roman" w:hAnsi="Times New Roman" w:cs="Times New Roman"/>
                <w:color w:val="000000"/>
                <w:sz w:val="24"/>
                <w:szCs w:val="24"/>
                <w:lang w:eastAsia="ru-RU"/>
              </w:rPr>
              <w:br/>
              <w:t>жительства,</w:t>
            </w:r>
            <w:r w:rsidRPr="00567E29">
              <w:rPr>
                <w:rFonts w:ascii="Times New Roman" w:eastAsia="Times New Roman" w:hAnsi="Times New Roman" w:cs="Times New Roman"/>
                <w:color w:val="000000"/>
                <w:sz w:val="24"/>
                <w:szCs w:val="24"/>
                <w:lang w:eastAsia="ru-RU"/>
              </w:rPr>
              <w:br/>
              <w:t xml:space="preserve">телефон  </w:t>
            </w:r>
          </w:p>
        </w:tc>
        <w:tc>
          <w:tcPr>
            <w:tcW w:w="1215"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xml:space="preserve">Наличие </w:t>
            </w:r>
            <w:r w:rsidRPr="00567E29">
              <w:rPr>
                <w:rFonts w:ascii="Times New Roman" w:eastAsia="Times New Roman" w:hAnsi="Times New Roman" w:cs="Times New Roman"/>
                <w:color w:val="000000"/>
                <w:sz w:val="24"/>
                <w:szCs w:val="24"/>
                <w:lang w:eastAsia="ru-RU"/>
              </w:rPr>
              <w:br/>
              <w:t xml:space="preserve">группы  </w:t>
            </w:r>
            <w:r w:rsidRPr="00567E29">
              <w:rPr>
                <w:rFonts w:ascii="Times New Roman" w:eastAsia="Times New Roman" w:hAnsi="Times New Roman" w:cs="Times New Roman"/>
                <w:color w:val="000000"/>
                <w:sz w:val="24"/>
                <w:szCs w:val="24"/>
                <w:lang w:eastAsia="ru-RU"/>
              </w:rPr>
              <w:br/>
              <w:t>инвалид-</w:t>
            </w:r>
            <w:r w:rsidRPr="00567E29">
              <w:rPr>
                <w:rFonts w:ascii="Times New Roman" w:eastAsia="Times New Roman" w:hAnsi="Times New Roman" w:cs="Times New Roman"/>
                <w:color w:val="000000"/>
                <w:sz w:val="24"/>
                <w:szCs w:val="24"/>
                <w:lang w:eastAsia="ru-RU"/>
              </w:rPr>
              <w:br/>
              <w:t xml:space="preserve">ности   </w:t>
            </w:r>
          </w:p>
        </w:tc>
        <w:tc>
          <w:tcPr>
            <w:tcW w:w="945"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xml:space="preserve">Дата  </w:t>
            </w:r>
            <w:r w:rsidRPr="00567E29">
              <w:rPr>
                <w:rFonts w:ascii="Times New Roman" w:eastAsia="Times New Roman" w:hAnsi="Times New Roman" w:cs="Times New Roman"/>
                <w:color w:val="000000"/>
                <w:sz w:val="24"/>
                <w:szCs w:val="24"/>
                <w:lang w:eastAsia="ru-RU"/>
              </w:rPr>
              <w:br/>
              <w:t>рожде-</w:t>
            </w:r>
            <w:r w:rsidRPr="00567E29">
              <w:rPr>
                <w:rFonts w:ascii="Times New Roman" w:eastAsia="Times New Roman" w:hAnsi="Times New Roman" w:cs="Times New Roman"/>
                <w:color w:val="000000"/>
                <w:sz w:val="24"/>
                <w:szCs w:val="24"/>
                <w:lang w:eastAsia="ru-RU"/>
              </w:rPr>
              <w:br/>
              <w:t xml:space="preserve">ния   </w:t>
            </w:r>
          </w:p>
        </w:tc>
        <w:tc>
          <w:tcPr>
            <w:tcW w:w="1080"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Диагноз</w:t>
            </w:r>
            <w:r w:rsidRPr="00567E29">
              <w:rPr>
                <w:rFonts w:ascii="Times New Roman" w:eastAsia="Times New Roman" w:hAnsi="Times New Roman" w:cs="Times New Roman"/>
                <w:color w:val="000000"/>
                <w:sz w:val="24"/>
                <w:szCs w:val="24"/>
                <w:lang w:eastAsia="ru-RU"/>
              </w:rPr>
              <w:br/>
              <w:t xml:space="preserve">при    </w:t>
            </w:r>
            <w:r w:rsidRPr="00567E29">
              <w:rPr>
                <w:rFonts w:ascii="Times New Roman" w:eastAsia="Times New Roman" w:hAnsi="Times New Roman" w:cs="Times New Roman"/>
                <w:color w:val="000000"/>
                <w:sz w:val="24"/>
                <w:szCs w:val="24"/>
                <w:lang w:eastAsia="ru-RU"/>
              </w:rPr>
              <w:br/>
              <w:t>направ-</w:t>
            </w:r>
            <w:r w:rsidRPr="00567E29">
              <w:rPr>
                <w:rFonts w:ascii="Times New Roman" w:eastAsia="Times New Roman" w:hAnsi="Times New Roman" w:cs="Times New Roman"/>
                <w:color w:val="000000"/>
                <w:sz w:val="24"/>
                <w:szCs w:val="24"/>
                <w:lang w:eastAsia="ru-RU"/>
              </w:rPr>
              <w:br/>
              <w:t xml:space="preserve">лении  </w:t>
            </w:r>
          </w:p>
        </w:tc>
        <w:tc>
          <w:tcPr>
            <w:tcW w:w="1080"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xml:space="preserve">Дата   </w:t>
            </w:r>
            <w:r w:rsidRPr="00567E29">
              <w:rPr>
                <w:rFonts w:ascii="Times New Roman" w:eastAsia="Times New Roman" w:hAnsi="Times New Roman" w:cs="Times New Roman"/>
                <w:color w:val="000000"/>
                <w:sz w:val="24"/>
                <w:szCs w:val="24"/>
                <w:lang w:eastAsia="ru-RU"/>
              </w:rPr>
              <w:br/>
              <w:t>направ-</w:t>
            </w:r>
            <w:r w:rsidRPr="00567E29">
              <w:rPr>
                <w:rFonts w:ascii="Times New Roman" w:eastAsia="Times New Roman" w:hAnsi="Times New Roman" w:cs="Times New Roman"/>
                <w:color w:val="000000"/>
                <w:sz w:val="24"/>
                <w:szCs w:val="24"/>
                <w:lang w:eastAsia="ru-RU"/>
              </w:rPr>
              <w:br/>
              <w:t xml:space="preserve">ления  </w:t>
            </w:r>
            <w:r w:rsidRPr="00567E29">
              <w:rPr>
                <w:rFonts w:ascii="Times New Roman" w:eastAsia="Times New Roman" w:hAnsi="Times New Roman" w:cs="Times New Roman"/>
                <w:color w:val="000000"/>
                <w:sz w:val="24"/>
                <w:szCs w:val="24"/>
                <w:lang w:eastAsia="ru-RU"/>
              </w:rPr>
              <w:br/>
              <w:t xml:space="preserve">и кем  </w:t>
            </w:r>
            <w:r w:rsidRPr="00567E29">
              <w:rPr>
                <w:rFonts w:ascii="Times New Roman" w:eastAsia="Times New Roman" w:hAnsi="Times New Roman" w:cs="Times New Roman"/>
                <w:color w:val="000000"/>
                <w:sz w:val="24"/>
                <w:szCs w:val="24"/>
                <w:lang w:eastAsia="ru-RU"/>
              </w:rPr>
              <w:br/>
              <w:t>направ-</w:t>
            </w:r>
            <w:r w:rsidRPr="00567E29">
              <w:rPr>
                <w:rFonts w:ascii="Times New Roman" w:eastAsia="Times New Roman" w:hAnsi="Times New Roman" w:cs="Times New Roman"/>
                <w:color w:val="000000"/>
                <w:sz w:val="24"/>
                <w:szCs w:val="24"/>
                <w:lang w:eastAsia="ru-RU"/>
              </w:rPr>
              <w:br/>
              <w:t xml:space="preserve">лен    </w:t>
            </w:r>
          </w:p>
        </w:tc>
        <w:tc>
          <w:tcPr>
            <w:tcW w:w="1080"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xml:space="preserve">Нужда- </w:t>
            </w:r>
            <w:r w:rsidRPr="00567E29">
              <w:rPr>
                <w:rFonts w:ascii="Times New Roman" w:eastAsia="Times New Roman" w:hAnsi="Times New Roman" w:cs="Times New Roman"/>
                <w:color w:val="000000"/>
                <w:sz w:val="24"/>
                <w:szCs w:val="24"/>
                <w:lang w:eastAsia="ru-RU"/>
              </w:rPr>
              <w:br/>
              <w:t xml:space="preserve">ется в </w:t>
            </w:r>
            <w:r w:rsidRPr="00567E29">
              <w:rPr>
                <w:rFonts w:ascii="Times New Roman" w:eastAsia="Times New Roman" w:hAnsi="Times New Roman" w:cs="Times New Roman"/>
                <w:color w:val="000000"/>
                <w:sz w:val="24"/>
                <w:szCs w:val="24"/>
                <w:lang w:eastAsia="ru-RU"/>
              </w:rPr>
              <w:br/>
              <w:t>направ-</w:t>
            </w:r>
            <w:r w:rsidRPr="00567E29">
              <w:rPr>
                <w:rFonts w:ascii="Times New Roman" w:eastAsia="Times New Roman" w:hAnsi="Times New Roman" w:cs="Times New Roman"/>
                <w:color w:val="000000"/>
                <w:sz w:val="24"/>
                <w:szCs w:val="24"/>
                <w:lang w:eastAsia="ru-RU"/>
              </w:rPr>
              <w:br/>
              <w:t xml:space="preserve">лении  </w:t>
            </w:r>
            <w:r w:rsidRPr="00567E29">
              <w:rPr>
                <w:rFonts w:ascii="Times New Roman" w:eastAsia="Times New Roman" w:hAnsi="Times New Roman" w:cs="Times New Roman"/>
                <w:color w:val="000000"/>
                <w:sz w:val="24"/>
                <w:szCs w:val="24"/>
                <w:lang w:eastAsia="ru-RU"/>
              </w:rPr>
              <w:br/>
              <w:t xml:space="preserve">в ЛПУ  </w:t>
            </w:r>
          </w:p>
        </w:tc>
        <w:tc>
          <w:tcPr>
            <w:tcW w:w="1215"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xml:space="preserve">Дата    </w:t>
            </w:r>
            <w:r w:rsidRPr="00567E29">
              <w:rPr>
                <w:rFonts w:ascii="Times New Roman" w:eastAsia="Times New Roman" w:hAnsi="Times New Roman" w:cs="Times New Roman"/>
                <w:color w:val="000000"/>
                <w:sz w:val="24"/>
                <w:szCs w:val="24"/>
                <w:lang w:eastAsia="ru-RU"/>
              </w:rPr>
              <w:br/>
              <w:t xml:space="preserve">направ- </w:t>
            </w:r>
            <w:r w:rsidRPr="00567E29">
              <w:rPr>
                <w:rFonts w:ascii="Times New Roman" w:eastAsia="Times New Roman" w:hAnsi="Times New Roman" w:cs="Times New Roman"/>
                <w:color w:val="000000"/>
                <w:sz w:val="24"/>
                <w:szCs w:val="24"/>
                <w:lang w:eastAsia="ru-RU"/>
              </w:rPr>
              <w:br/>
              <w:t xml:space="preserve">ления   </w:t>
            </w:r>
            <w:r w:rsidRPr="00567E29">
              <w:rPr>
                <w:rFonts w:ascii="Times New Roman" w:eastAsia="Times New Roman" w:hAnsi="Times New Roman" w:cs="Times New Roman"/>
                <w:color w:val="000000"/>
                <w:sz w:val="24"/>
                <w:szCs w:val="24"/>
                <w:lang w:eastAsia="ru-RU"/>
              </w:rPr>
              <w:br/>
              <w:t>докумен-</w:t>
            </w:r>
            <w:r w:rsidRPr="00567E29">
              <w:rPr>
                <w:rFonts w:ascii="Times New Roman" w:eastAsia="Times New Roman" w:hAnsi="Times New Roman" w:cs="Times New Roman"/>
                <w:color w:val="000000"/>
                <w:sz w:val="24"/>
                <w:szCs w:val="24"/>
                <w:lang w:eastAsia="ru-RU"/>
              </w:rPr>
              <w:br/>
              <w:t xml:space="preserve">тов     </w:t>
            </w:r>
            <w:r w:rsidRPr="00567E29">
              <w:rPr>
                <w:rFonts w:ascii="Times New Roman" w:eastAsia="Times New Roman" w:hAnsi="Times New Roman" w:cs="Times New Roman"/>
                <w:color w:val="000000"/>
                <w:sz w:val="24"/>
                <w:szCs w:val="24"/>
                <w:lang w:eastAsia="ru-RU"/>
              </w:rPr>
              <w:br/>
              <w:t xml:space="preserve">в ЛПУ   </w:t>
            </w:r>
          </w:p>
        </w:tc>
        <w:tc>
          <w:tcPr>
            <w:tcW w:w="1755" w:type="dxa"/>
            <w:hideMark/>
          </w:tcPr>
          <w:p w:rsidR="00567E29" w:rsidRPr="00567E29" w:rsidRDefault="00567E29" w:rsidP="00567E29">
            <w:pPr>
              <w:spacing w:before="100" w:beforeAutospacing="1" w:after="100" w:afterAutospacing="1" w:line="240" w:lineRule="auto"/>
              <w:rPr>
                <w:rFonts w:ascii="Times New Roman" w:eastAsia="Times New Roman" w:hAnsi="Times New Roman" w:cs="Times New Roman"/>
                <w:sz w:val="24"/>
                <w:szCs w:val="24"/>
                <w:lang w:eastAsia="ru-RU"/>
              </w:rPr>
            </w:pPr>
            <w:r w:rsidRPr="00567E29">
              <w:rPr>
                <w:rFonts w:ascii="Times New Roman" w:eastAsia="Times New Roman" w:hAnsi="Times New Roman" w:cs="Times New Roman"/>
                <w:color w:val="000000"/>
                <w:sz w:val="24"/>
                <w:szCs w:val="24"/>
                <w:lang w:eastAsia="ru-RU"/>
              </w:rPr>
              <w:t xml:space="preserve">Дата    </w:t>
            </w:r>
            <w:r w:rsidRPr="00567E29">
              <w:rPr>
                <w:rFonts w:ascii="Times New Roman" w:eastAsia="Times New Roman" w:hAnsi="Times New Roman" w:cs="Times New Roman"/>
                <w:color w:val="000000"/>
                <w:sz w:val="24"/>
                <w:szCs w:val="24"/>
                <w:lang w:eastAsia="ru-RU"/>
              </w:rPr>
              <w:br/>
              <w:t xml:space="preserve">получения и </w:t>
            </w:r>
            <w:r w:rsidRPr="00567E29">
              <w:rPr>
                <w:rFonts w:ascii="Times New Roman" w:eastAsia="Times New Roman" w:hAnsi="Times New Roman" w:cs="Times New Roman"/>
                <w:color w:val="000000"/>
                <w:sz w:val="24"/>
                <w:szCs w:val="24"/>
                <w:lang w:eastAsia="ru-RU"/>
              </w:rPr>
              <w:br/>
              <w:t xml:space="preserve">результаты </w:t>
            </w:r>
            <w:r w:rsidRPr="00567E29">
              <w:rPr>
                <w:rFonts w:ascii="Times New Roman" w:eastAsia="Times New Roman" w:hAnsi="Times New Roman" w:cs="Times New Roman"/>
                <w:color w:val="000000"/>
                <w:sz w:val="24"/>
                <w:szCs w:val="24"/>
                <w:lang w:eastAsia="ru-RU"/>
              </w:rPr>
              <w:br/>
              <w:t>рассмотрения</w:t>
            </w:r>
            <w:r w:rsidRPr="00567E29">
              <w:rPr>
                <w:rFonts w:ascii="Times New Roman" w:eastAsia="Times New Roman" w:hAnsi="Times New Roman" w:cs="Times New Roman"/>
                <w:color w:val="000000"/>
                <w:sz w:val="24"/>
                <w:szCs w:val="24"/>
                <w:lang w:eastAsia="ru-RU"/>
              </w:rPr>
              <w:br/>
              <w:t xml:space="preserve">документов </w:t>
            </w:r>
          </w:p>
        </w:tc>
      </w:tr>
      <w:tr w:rsidR="00567E29" w:rsidRPr="00567E29" w:rsidTr="00567E29">
        <w:trPr>
          <w:tblCellSpacing w:w="0" w:type="dxa"/>
        </w:trPr>
        <w:tc>
          <w:tcPr>
            <w:tcW w:w="405"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945"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810"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1620"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1215"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945"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1080"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1080"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1080"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1215"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c>
          <w:tcPr>
            <w:tcW w:w="1755" w:type="dxa"/>
            <w:hideMark/>
          </w:tcPr>
          <w:p w:rsidR="00567E29" w:rsidRPr="00567E29" w:rsidRDefault="00567E29" w:rsidP="00567E29">
            <w:pPr>
              <w:spacing w:after="0" w:line="240" w:lineRule="auto"/>
              <w:rPr>
                <w:rFonts w:ascii="Times New Roman" w:eastAsia="Times New Roman" w:hAnsi="Times New Roman" w:cs="Times New Roman"/>
                <w:sz w:val="24"/>
                <w:szCs w:val="24"/>
                <w:lang w:eastAsia="ru-RU"/>
              </w:rPr>
            </w:pPr>
          </w:p>
        </w:tc>
      </w:tr>
    </w:tbl>
    <w:p w:rsidR="00AA16DE" w:rsidRDefault="00AA16DE"/>
    <w:sectPr w:rsidR="00AA1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29"/>
    <w:rsid w:val="00567E29"/>
    <w:rsid w:val="00AA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67E2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67E29"/>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67E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67E2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67E29"/>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67E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17029">
      <w:bodyDiv w:val="1"/>
      <w:marLeft w:val="0"/>
      <w:marRight w:val="0"/>
      <w:marTop w:val="0"/>
      <w:marBottom w:val="0"/>
      <w:divBdr>
        <w:top w:val="none" w:sz="0" w:space="0" w:color="auto"/>
        <w:left w:val="none" w:sz="0" w:space="0" w:color="auto"/>
        <w:bottom w:val="none" w:sz="0" w:space="0" w:color="auto"/>
        <w:right w:val="none" w:sz="0" w:space="0" w:color="auto"/>
      </w:divBdr>
      <w:divsChild>
        <w:div w:id="132816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12816</Characters>
  <Application>Microsoft Office Word</Application>
  <DocSecurity>0</DocSecurity>
  <Lines>106</Lines>
  <Paragraphs>30</Paragraphs>
  <ScaleCrop>false</ScaleCrop>
  <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Талипова</dc:creator>
  <cp:lastModifiedBy>Талипова</cp:lastModifiedBy>
  <cp:revision>1</cp:revision>
  <dcterms:created xsi:type="dcterms:W3CDTF">2012-02-13T08:21:00Z</dcterms:created>
  <dcterms:modified xsi:type="dcterms:W3CDTF">2012-02-13T08:22:00Z</dcterms:modified>
</cp:coreProperties>
</file>